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14" w:rsidRPr="00B918F1" w:rsidRDefault="003C3B14" w:rsidP="003C3B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8809</w:t>
      </w:r>
      <w:r w:rsidRPr="00B918F1">
        <w:rPr>
          <w:rFonts w:ascii="Verdana" w:hAnsi="Verdana" w:cs="Arial"/>
          <w:color w:val="2B2B2B"/>
          <w:sz w:val="20"/>
          <w:szCs w:val="20"/>
        </w:rPr>
        <w:t>, de 16 de julho de 2008 – desativa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“Diógenes de Lima”,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a partir de 2008. Publicada no Diário Oficial do Estado nº 7.279, de 20/08/2008, pág. 8.</w:t>
      </w:r>
    </w:p>
    <w:sectPr w:rsidR="003C3B14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C3B14"/>
    <w:rsid w:val="000446D2"/>
    <w:rsid w:val="00135BCE"/>
    <w:rsid w:val="001937BF"/>
    <w:rsid w:val="003C3B14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B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3B14"/>
    <w:rPr>
      <w:b/>
      <w:bCs/>
    </w:rPr>
  </w:style>
  <w:style w:type="character" w:customStyle="1" w:styleId="apple-converted-space">
    <w:name w:val="apple-converted-space"/>
    <w:basedOn w:val="Fontepargpadro"/>
    <w:rsid w:val="003C3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2017-02-15T18:05:00Z</dcterms:created>
  <dcterms:modified xsi:type="dcterms:W3CDTF">2017-02-15T18:06:00Z</dcterms:modified>
</cp:coreProperties>
</file>